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D" w:rsidRPr="007105E9" w:rsidRDefault="005B4046" w:rsidP="007105E9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申请</w:t>
      </w:r>
      <w:r w:rsidR="000970CD" w:rsidRPr="007105E9">
        <w:rPr>
          <w:rFonts w:cs="宋体" w:hint="eastAsia"/>
          <w:sz w:val="44"/>
          <w:szCs w:val="44"/>
        </w:rPr>
        <w:t>食品</w:t>
      </w:r>
      <w:r w:rsidR="007C3300">
        <w:rPr>
          <w:rFonts w:cs="宋体" w:hint="eastAsia"/>
          <w:sz w:val="44"/>
          <w:szCs w:val="44"/>
        </w:rPr>
        <w:t>添加剂</w:t>
      </w:r>
      <w:r w:rsidR="000970CD" w:rsidRPr="007105E9">
        <w:rPr>
          <w:rFonts w:cs="宋体" w:hint="eastAsia"/>
          <w:sz w:val="44"/>
          <w:szCs w:val="44"/>
        </w:rPr>
        <w:t>生产许可指南</w:t>
      </w:r>
    </w:p>
    <w:tbl>
      <w:tblPr>
        <w:tblW w:w="0" w:type="auto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5"/>
        <w:gridCol w:w="1538"/>
        <w:gridCol w:w="6011"/>
      </w:tblGrid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outset" w:sz="18" w:space="0" w:color="000000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填报要素</w:t>
            </w:r>
          </w:p>
        </w:tc>
        <w:tc>
          <w:tcPr>
            <w:tcW w:w="609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填报内容及要求</w:t>
            </w:r>
          </w:p>
        </w:tc>
      </w:tr>
      <w:tr w:rsidR="000970CD" w:rsidRPr="001819D5" w:rsidTr="002626D3">
        <w:trPr>
          <w:trHeight w:val="1222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2626D3" w:rsidRDefault="002626D3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626D3">
              <w:rPr>
                <w:rFonts w:ascii="仿宋_GB2312" w:eastAsia="仿宋_GB2312" w:hint="eastAsia"/>
                <w:color w:val="444444"/>
                <w:sz w:val="24"/>
                <w:szCs w:val="24"/>
                <w:shd w:val="clear" w:color="auto" w:fill="FFFFFF"/>
              </w:rPr>
              <w:t>1.《中华人民共和国食品安全法》（2015年修订）第35条；2.</w:t>
            </w:r>
            <w:r w:rsidRPr="002626D3">
              <w:rPr>
                <w:rStyle w:val="apple-converted-space"/>
                <w:rFonts w:ascii="微软雅黑" w:eastAsia="微软雅黑" w:hAnsi="微软雅黑" w:hint="eastAsia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2626D3">
              <w:rPr>
                <w:rFonts w:ascii="仿宋_GB2312" w:eastAsia="仿宋_GB2312" w:hint="eastAsia"/>
                <w:color w:val="444444"/>
                <w:sz w:val="24"/>
                <w:szCs w:val="24"/>
                <w:shd w:val="clear" w:color="auto" w:fill="FFFFFF"/>
              </w:rPr>
              <w:t>《食品生产许可管理办法》（2015年10月1日起施行）第2条。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周一至周五（上午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12:00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下午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1:30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  <w:r w:rsidRPr="00A11CAC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 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A11CAC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 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（法定节假日除外）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许可时限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 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申请材料不齐全或者不符合法定形式的，应当当场或者在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个工作日内一次告知申请人需要补正的全部内容。当场告知的，应当将申请材料退回申请人；在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告知的，应当收取申请材料并出具收到申请材料的凭据。逾期不告知的，自收到申请材料之日起即为受理。申请材料齐全、符合法定形式，或者申请人按照要求提交全部补正材料的，应当受理食品生产许可申请。</w:t>
            </w:r>
          </w:p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．需要对申请材料的实质内容进行核实的，应当进行现场核查，核查人员应当自接受现场核查任务之日起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个工作日内，完成对生产场所的现场核查。</w:t>
            </w:r>
          </w:p>
          <w:p w:rsidR="000970CD" w:rsidRPr="00A11CAC" w:rsidRDefault="000970CD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．除可以当场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行政许可决定的外，县级以上地方食品药品监督管理部门应当自受理申请之日起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是否准予行政许可的决定。因特殊原因需要延长期限的，经本行政机关负责人批准，可以延长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个工作日，并应当将延长期限的理由告知申请人。自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决定之日起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个工作日内向申请人颁发食品生产许可证。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543140" w:rsidRDefault="005252FF" w:rsidP="00543140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firstLine="120"/>
              <w:rPr>
                <w:rFonts w:ascii="微软雅黑" w:eastAsia="微软雅黑" w:hAnsi="微软雅黑"/>
                <w:color w:val="444444"/>
                <w:sz w:val="21"/>
                <w:szCs w:val="21"/>
              </w:rPr>
            </w:pPr>
            <w:r w:rsidRPr="005252FF">
              <w:rPr>
                <w:rFonts w:ascii="仿宋_GB2312" w:eastAsia="仿宋_GB2312" w:hAnsi="微软雅黑" w:hint="eastAsia"/>
                <w:color w:val="444444"/>
              </w:rPr>
              <w:t>申请食品添加剂生产许可，应当具备与所生产食品添加剂品种相适应的场所、生产设备或者设施、食品安全管理人员、专业技术人员和管理制度。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ind w:left="420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  <w:r w:rsidRPr="00B65DBA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 </w:t>
            </w:r>
            <w:r w:rsidRPr="00B65DBA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543140">
            <w:pPr>
              <w:widowControl/>
              <w:spacing w:line="4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办理材料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1.食品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添加剂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生产许可申请书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（使用钢笔、签字笔填写或打印）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； 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.食品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添加剂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生产加工场所及其周围环境平面图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和生产加工各功能区间布局平面图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4.食品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添加剂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生产主要设备、设施清单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及布局图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5.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食品添加剂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安全自查、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进货查验记录、出厂检验记录等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保证食品</w:t>
            </w:r>
            <w:r w:rsidR="007C330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添加剂及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安全的规章制度。</w:t>
            </w:r>
          </w:p>
          <w:p w:rsid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F6553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以上材料一式两份</w:t>
            </w:r>
          </w:p>
          <w:p w:rsidR="00543140" w:rsidRDefault="00543140" w:rsidP="00543140">
            <w:pPr>
              <w:spacing w:line="400" w:lineRule="exact"/>
              <w:ind w:leftChars="57" w:left="142" w:hangingChars="9" w:hanging="22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申请人委托他人办理食品生产许可申请的，代理人应当提交授权委托书以及代理人的身份证明文件。</w:t>
            </w:r>
          </w:p>
          <w:p w:rsidR="000970CD" w:rsidRPr="00F6553C" w:rsidRDefault="00543140" w:rsidP="005B4046">
            <w:pPr>
              <w:spacing w:line="400" w:lineRule="exact"/>
              <w:ind w:leftChars="57" w:left="142" w:hangingChars="9" w:hanging="22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2.申请材料均须由申请人的法定代表人或负责人签名，并加盖申请人公章。复印件应当有申请人注明“与原件一致”，并加盖申请人公章。</w:t>
            </w:r>
            <w:r w:rsidR="000970CD" w:rsidRPr="00F6553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</w:t>
            </w:r>
            <w:r w:rsidR="000970CD" w:rsidRPr="00F6553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</w:tbl>
    <w:p w:rsidR="000970CD" w:rsidRDefault="000970CD" w:rsidP="00A11CAC">
      <w:pPr>
        <w:rPr>
          <w:rFonts w:cs="Times New Roman"/>
        </w:rPr>
      </w:pPr>
    </w:p>
    <w:sectPr w:rsidR="000970CD" w:rsidSect="0040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70CD" w:rsidRDefault="000970CD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DBA"/>
    <w:rsid w:val="000163FA"/>
    <w:rsid w:val="000970CD"/>
    <w:rsid w:val="001819D5"/>
    <w:rsid w:val="001F3AFD"/>
    <w:rsid w:val="002626D3"/>
    <w:rsid w:val="0034364E"/>
    <w:rsid w:val="00382083"/>
    <w:rsid w:val="0040479A"/>
    <w:rsid w:val="004A1087"/>
    <w:rsid w:val="00524033"/>
    <w:rsid w:val="005252FF"/>
    <w:rsid w:val="00543140"/>
    <w:rsid w:val="005B4046"/>
    <w:rsid w:val="005D41D3"/>
    <w:rsid w:val="006067C5"/>
    <w:rsid w:val="00681FB4"/>
    <w:rsid w:val="007105E9"/>
    <w:rsid w:val="00792EC7"/>
    <w:rsid w:val="007C3300"/>
    <w:rsid w:val="00822FB9"/>
    <w:rsid w:val="00873B93"/>
    <w:rsid w:val="008B7072"/>
    <w:rsid w:val="00952B45"/>
    <w:rsid w:val="00A11CAC"/>
    <w:rsid w:val="00A90B41"/>
    <w:rsid w:val="00B51C85"/>
    <w:rsid w:val="00B65DBA"/>
    <w:rsid w:val="00BB3070"/>
    <w:rsid w:val="00BB58B6"/>
    <w:rsid w:val="00CD427B"/>
    <w:rsid w:val="00D101FD"/>
    <w:rsid w:val="00D436F0"/>
    <w:rsid w:val="00DA2169"/>
    <w:rsid w:val="00DA4531"/>
    <w:rsid w:val="00DC3C47"/>
    <w:rsid w:val="00F33BE2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5DBA"/>
    <w:rPr>
      <w:sz w:val="18"/>
      <w:szCs w:val="18"/>
    </w:rPr>
  </w:style>
  <w:style w:type="paragraph" w:styleId="a5">
    <w:name w:val="Normal (Web)"/>
    <w:basedOn w:val="a"/>
    <w:uiPriority w:val="99"/>
    <w:rsid w:val="00B65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65DBA"/>
    <w:rPr>
      <w:b/>
      <w:bCs/>
    </w:rPr>
  </w:style>
  <w:style w:type="character" w:customStyle="1" w:styleId="apple-converted-space">
    <w:name w:val="apple-converted-space"/>
    <w:basedOn w:val="a0"/>
    <w:rsid w:val="0026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4</cp:revision>
  <dcterms:created xsi:type="dcterms:W3CDTF">2017-09-06T02:30:00Z</dcterms:created>
  <dcterms:modified xsi:type="dcterms:W3CDTF">2018-12-25T01:50:00Z</dcterms:modified>
</cp:coreProperties>
</file>